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E0" w:rsidRPr="00E45A48" w:rsidRDefault="00DA38D6" w:rsidP="001D62E4">
      <w:pPr>
        <w:jc w:val="center"/>
        <w:rPr>
          <w:rFonts w:ascii="Times New Roman" w:hAnsi="Times New Roman"/>
          <w:b/>
          <w:sz w:val="28"/>
          <w:szCs w:val="28"/>
          <w:lang w:val="vi-VN"/>
        </w:rPr>
      </w:pPr>
      <w:r>
        <w:rPr>
          <w:rFonts w:ascii="Times New Roman" w:hAnsi="Times New Roman"/>
          <w:b/>
          <w:sz w:val="28"/>
          <w:szCs w:val="28"/>
          <w:lang w:val="vi-VN"/>
        </w:rPr>
        <w:t>NỘI DUNG DỰ THẢO SỬA ĐỔI, BỔ SUNG</w:t>
      </w:r>
      <w:bookmarkStart w:id="0" w:name="_GoBack"/>
      <w:bookmarkEnd w:id="0"/>
      <w:r w:rsidR="00E45A48">
        <w:rPr>
          <w:rFonts w:ascii="Times New Roman" w:hAnsi="Times New Roman"/>
          <w:b/>
          <w:sz w:val="28"/>
          <w:szCs w:val="28"/>
          <w:lang w:val="vi-VN"/>
        </w:rPr>
        <w:t xml:space="preserve"> PHẦN 11 VÀ PHẦN 22 CỦA BỘ QCATHK</w:t>
      </w:r>
    </w:p>
    <w:tbl>
      <w:tblPr>
        <w:tblW w:w="14824" w:type="dxa"/>
        <w:tblInd w:w="-2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506"/>
        <w:gridCol w:w="4732"/>
        <w:gridCol w:w="4375"/>
        <w:gridCol w:w="4211"/>
      </w:tblGrid>
      <w:tr w:rsidR="000A1EE0" w:rsidRPr="00017389" w:rsidTr="00BC6D88">
        <w:trPr>
          <w:trHeight w:val="473"/>
        </w:trPr>
        <w:tc>
          <w:tcPr>
            <w:tcW w:w="1506" w:type="dxa"/>
            <w:tcBorders>
              <w:top w:val="double" w:sz="4" w:space="0" w:color="auto"/>
              <w:bottom w:val="double" w:sz="4" w:space="0" w:color="auto"/>
            </w:tcBorders>
            <w:vAlign w:val="center"/>
          </w:tcPr>
          <w:p w:rsidR="000A1EE0" w:rsidRPr="00017389" w:rsidRDefault="003E2559" w:rsidP="00BC6D88">
            <w:pPr>
              <w:jc w:val="center"/>
              <w:rPr>
                <w:rFonts w:ascii="Times New Roman" w:hAnsi="Times New Roman"/>
                <w:b/>
                <w:color w:val="000000"/>
                <w:sz w:val="24"/>
                <w:szCs w:val="24"/>
              </w:rPr>
            </w:pPr>
            <w:r w:rsidRPr="00017389">
              <w:rPr>
                <w:rFonts w:ascii="Times New Roman" w:hAnsi="Times New Roman"/>
                <w:b/>
                <w:color w:val="000000"/>
                <w:sz w:val="24"/>
                <w:szCs w:val="24"/>
              </w:rPr>
              <w:t>Điều khoản</w:t>
            </w:r>
          </w:p>
        </w:tc>
        <w:tc>
          <w:tcPr>
            <w:tcW w:w="4732" w:type="dxa"/>
            <w:tcBorders>
              <w:top w:val="double" w:sz="4" w:space="0" w:color="auto"/>
              <w:bottom w:val="double" w:sz="4" w:space="0" w:color="auto"/>
            </w:tcBorders>
            <w:vAlign w:val="center"/>
          </w:tcPr>
          <w:p w:rsidR="000A1EE0" w:rsidRPr="00017389" w:rsidRDefault="000A1EE0" w:rsidP="00BC6D88">
            <w:pPr>
              <w:jc w:val="center"/>
              <w:rPr>
                <w:rFonts w:ascii="Times New Roman" w:hAnsi="Times New Roman"/>
                <w:b/>
                <w:color w:val="000000"/>
                <w:sz w:val="24"/>
                <w:szCs w:val="24"/>
                <w:lang w:val="vi-VN"/>
              </w:rPr>
            </w:pPr>
            <w:r w:rsidRPr="00017389">
              <w:rPr>
                <w:rFonts w:ascii="Times New Roman" w:hAnsi="Times New Roman"/>
                <w:b/>
                <w:color w:val="000000"/>
                <w:sz w:val="24"/>
                <w:szCs w:val="24"/>
                <w:lang w:val="vi-VN"/>
              </w:rPr>
              <w:t xml:space="preserve">Nội dung Bộ QCATHK </w:t>
            </w:r>
          </w:p>
        </w:tc>
        <w:tc>
          <w:tcPr>
            <w:tcW w:w="4375" w:type="dxa"/>
            <w:tcBorders>
              <w:top w:val="double" w:sz="4" w:space="0" w:color="auto"/>
              <w:bottom w:val="double" w:sz="4" w:space="0" w:color="auto"/>
            </w:tcBorders>
          </w:tcPr>
          <w:p w:rsidR="000A1EE0" w:rsidRPr="00017389" w:rsidRDefault="000A1EE0" w:rsidP="00BC6D88">
            <w:pPr>
              <w:jc w:val="center"/>
              <w:rPr>
                <w:rFonts w:ascii="Times New Roman" w:hAnsi="Times New Roman"/>
                <w:b/>
                <w:color w:val="000000"/>
                <w:sz w:val="24"/>
                <w:szCs w:val="24"/>
                <w:lang w:val="vi-VN"/>
              </w:rPr>
            </w:pPr>
            <w:r w:rsidRPr="00017389">
              <w:rPr>
                <w:rFonts w:ascii="Times New Roman" w:hAnsi="Times New Roman"/>
                <w:b/>
                <w:color w:val="000000"/>
                <w:sz w:val="24"/>
                <w:szCs w:val="24"/>
                <w:lang w:val="vi-VN"/>
              </w:rPr>
              <w:t>Nội dung đề nghị sửa đổi</w:t>
            </w:r>
            <w:r w:rsidR="008F4C10" w:rsidRPr="00017389">
              <w:rPr>
                <w:rFonts w:ascii="Times New Roman" w:hAnsi="Times New Roman"/>
                <w:b/>
                <w:color w:val="000000"/>
                <w:sz w:val="24"/>
                <w:szCs w:val="24"/>
                <w:lang w:val="vi-VN"/>
              </w:rPr>
              <w:t>/bổ sung</w:t>
            </w:r>
          </w:p>
        </w:tc>
        <w:tc>
          <w:tcPr>
            <w:tcW w:w="4211" w:type="dxa"/>
            <w:tcBorders>
              <w:top w:val="double" w:sz="4" w:space="0" w:color="auto"/>
              <w:bottom w:val="double" w:sz="4" w:space="0" w:color="auto"/>
            </w:tcBorders>
          </w:tcPr>
          <w:p w:rsidR="000A1EE0" w:rsidRPr="00017389" w:rsidRDefault="000A1EE0" w:rsidP="00BC6D88">
            <w:pPr>
              <w:jc w:val="center"/>
              <w:rPr>
                <w:rFonts w:ascii="Times New Roman" w:hAnsi="Times New Roman"/>
                <w:b/>
                <w:color w:val="000000"/>
                <w:sz w:val="24"/>
                <w:szCs w:val="24"/>
              </w:rPr>
            </w:pPr>
            <w:r w:rsidRPr="00017389">
              <w:rPr>
                <w:rFonts w:ascii="Times New Roman" w:hAnsi="Times New Roman"/>
                <w:b/>
                <w:color w:val="000000"/>
                <w:sz w:val="24"/>
                <w:szCs w:val="24"/>
              </w:rPr>
              <w:t>Lý do sửa đổi</w:t>
            </w:r>
          </w:p>
        </w:tc>
      </w:tr>
      <w:tr w:rsidR="000A1EE0" w:rsidRPr="00017389" w:rsidTr="00BC6D88">
        <w:trPr>
          <w:trHeight w:val="473"/>
        </w:trPr>
        <w:tc>
          <w:tcPr>
            <w:tcW w:w="1506" w:type="dxa"/>
            <w:tcBorders>
              <w:top w:val="double" w:sz="4" w:space="0" w:color="auto"/>
              <w:bottom w:val="single" w:sz="4" w:space="0" w:color="000000"/>
            </w:tcBorders>
          </w:tcPr>
          <w:p w:rsidR="000A1EE0" w:rsidRPr="00017389" w:rsidRDefault="005A68D8" w:rsidP="00017389">
            <w:pPr>
              <w:widowControl w:val="0"/>
              <w:autoSpaceDE w:val="0"/>
              <w:autoSpaceDN w:val="0"/>
              <w:adjustRightInd w:val="0"/>
              <w:ind w:right="-97"/>
              <w:jc w:val="both"/>
              <w:rPr>
                <w:rFonts w:ascii="Times New Roman" w:hAnsi="Times New Roman"/>
                <w:color w:val="000000"/>
                <w:sz w:val="24"/>
                <w:szCs w:val="24"/>
              </w:rPr>
            </w:pPr>
            <w:r w:rsidRPr="00017389">
              <w:rPr>
                <w:rFonts w:ascii="Times New Roman" w:hAnsi="Times New Roman"/>
                <w:color w:val="000000"/>
                <w:sz w:val="24"/>
                <w:szCs w:val="24"/>
              </w:rPr>
              <w:t>Tên phần 11</w:t>
            </w:r>
          </w:p>
        </w:tc>
        <w:tc>
          <w:tcPr>
            <w:tcW w:w="4732" w:type="dxa"/>
            <w:tcBorders>
              <w:top w:val="double" w:sz="4" w:space="0" w:color="auto"/>
            </w:tcBorders>
          </w:tcPr>
          <w:p w:rsidR="000A1EE0" w:rsidRPr="00017389" w:rsidRDefault="005A68D8" w:rsidP="00017389">
            <w:pPr>
              <w:pStyle w:val="Default"/>
              <w:jc w:val="both"/>
            </w:pPr>
            <w:r w:rsidRPr="00017389">
              <w:rPr>
                <w:rFonts w:eastAsia="Calibri"/>
                <w:b/>
                <w:bCs/>
                <w:color w:val="FF0000"/>
              </w:rPr>
              <w:t>KHAI THÁC HÀNG KHÔNG CHUNG PHỤC VỤ KINH TẾ, XÃ HỘI</w:t>
            </w:r>
          </w:p>
        </w:tc>
        <w:tc>
          <w:tcPr>
            <w:tcW w:w="4375" w:type="dxa"/>
            <w:tcBorders>
              <w:top w:val="double" w:sz="4" w:space="0" w:color="auto"/>
            </w:tcBorders>
          </w:tcPr>
          <w:p w:rsidR="000A1EE0" w:rsidRPr="00017389" w:rsidRDefault="005A68D8" w:rsidP="00017389">
            <w:pPr>
              <w:pStyle w:val="Default"/>
              <w:jc w:val="both"/>
              <w:rPr>
                <w:b/>
                <w:i/>
              </w:rPr>
            </w:pPr>
            <w:r w:rsidRPr="00017389">
              <w:rPr>
                <w:rFonts w:eastAsia="Calibri"/>
                <w:b/>
                <w:bCs/>
                <w:color w:val="FF0000"/>
              </w:rPr>
              <w:t>CÁC CÔNG VIỆC TRÊN KHÔNG PHỤC VỤ KINH TẾ, XÃ HỘI</w:t>
            </w:r>
          </w:p>
        </w:tc>
        <w:tc>
          <w:tcPr>
            <w:tcW w:w="4211" w:type="dxa"/>
            <w:tcBorders>
              <w:top w:val="double" w:sz="4" w:space="0" w:color="auto"/>
            </w:tcBorders>
          </w:tcPr>
          <w:p w:rsidR="000A1EE0" w:rsidRPr="00017389" w:rsidRDefault="005A68D8" w:rsidP="00017389">
            <w:pPr>
              <w:pStyle w:val="StyleHeading213ptJustifiedBefore0ptAfter0pt"/>
              <w:rPr>
                <w:b w:val="0"/>
                <w:color w:val="000000"/>
                <w:sz w:val="24"/>
                <w:szCs w:val="24"/>
              </w:rPr>
            </w:pPr>
            <w:r w:rsidRPr="00017389">
              <w:rPr>
                <w:b w:val="0"/>
                <w:color w:val="000000"/>
                <w:sz w:val="24"/>
                <w:szCs w:val="24"/>
              </w:rPr>
              <w:t>Phù hợp với phân loại General aviation và aerial work theo ICAO và VARs</w:t>
            </w:r>
          </w:p>
        </w:tc>
      </w:tr>
      <w:tr w:rsidR="000A1EE0" w:rsidRPr="00017389" w:rsidTr="00BC6D88">
        <w:trPr>
          <w:trHeight w:val="473"/>
        </w:trPr>
        <w:tc>
          <w:tcPr>
            <w:tcW w:w="1506" w:type="dxa"/>
            <w:tcBorders>
              <w:top w:val="single" w:sz="4" w:space="0" w:color="000000"/>
              <w:bottom w:val="single" w:sz="4" w:space="0" w:color="000000"/>
            </w:tcBorders>
            <w:vAlign w:val="center"/>
          </w:tcPr>
          <w:p w:rsidR="000A1EE0"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r w:rsidRPr="00017389">
              <w:rPr>
                <w:rFonts w:ascii="Times New Roman" w:hAnsi="Times New Roman"/>
                <w:i/>
                <w:color w:val="000000"/>
                <w:sz w:val="24"/>
                <w:szCs w:val="24"/>
              </w:rPr>
              <w:t>11.003 a (1)</w:t>
            </w:r>
          </w:p>
        </w:tc>
        <w:tc>
          <w:tcPr>
            <w:tcW w:w="4732" w:type="dxa"/>
          </w:tcPr>
          <w:p w:rsidR="000A1EE0" w:rsidRPr="00017389" w:rsidRDefault="003A30C8" w:rsidP="00017389">
            <w:pPr>
              <w:pStyle w:val="Default"/>
              <w:numPr>
                <w:ilvl w:val="1"/>
                <w:numId w:val="6"/>
              </w:numPr>
              <w:jc w:val="both"/>
              <w:rPr>
                <w:lang w:val="en-GB"/>
              </w:rPr>
            </w:pPr>
            <w:r w:rsidRPr="00017389">
              <w:rPr>
                <w:b/>
                <w:bCs/>
              </w:rPr>
              <w:t xml:space="preserve">Bay phục vụ kinh tế, xã hội: </w:t>
            </w:r>
            <w:r w:rsidRPr="00017389">
              <w:t xml:space="preserve">là loại hình hoạt động hàng không chung phục vụ nông nghiệp, xây dựng, chụp ảnh, trắc địa, giám sát và tuần tra, tìm kiếm và cứu nạn, bay quảng cáo và các lĩnh vực kinh tế, xã hội khác; </w:t>
            </w:r>
          </w:p>
        </w:tc>
        <w:tc>
          <w:tcPr>
            <w:tcW w:w="4375" w:type="dxa"/>
            <w:vAlign w:val="center"/>
          </w:tcPr>
          <w:p w:rsidR="005A6AB6" w:rsidRPr="00017389" w:rsidRDefault="005A6AB6" w:rsidP="00017389">
            <w:pPr>
              <w:pStyle w:val="Default"/>
              <w:jc w:val="both"/>
            </w:pPr>
            <w:r w:rsidRPr="00017389">
              <w:rPr>
                <w:b/>
              </w:rPr>
              <w:t>Bay phục vụ kinh tế, xã hội:</w:t>
            </w:r>
            <w:r w:rsidRPr="00017389">
              <w:t xml:space="preserve"> </w:t>
            </w:r>
            <w:r w:rsidRPr="00017389">
              <w:rPr>
                <w:highlight w:val="yellow"/>
              </w:rPr>
              <w:t>là các công việc trên không</w:t>
            </w:r>
            <w:r w:rsidRPr="00017389">
              <w:t xml:space="preserve"> phục vụ nông nghiệp, xây dựng, chụp ảnh, trắc địa, giám sát và tuần tra, tìm kiếm và cứu nạn, bay quảng cáo và các lĩnh vực kinh tế, xã hội khác; </w:t>
            </w:r>
          </w:p>
          <w:p w:rsidR="000A1EE0" w:rsidRPr="00017389" w:rsidRDefault="003E2559" w:rsidP="00017389">
            <w:pPr>
              <w:jc w:val="both"/>
              <w:rPr>
                <w:rFonts w:ascii="Times New Roman" w:hAnsi="Times New Roman"/>
                <w:i/>
                <w:color w:val="000000"/>
                <w:sz w:val="24"/>
                <w:szCs w:val="24"/>
              </w:rPr>
            </w:pPr>
            <w:r w:rsidRPr="00017389">
              <w:rPr>
                <w:rFonts w:ascii="Times New Roman" w:hAnsi="Times New Roman"/>
                <w:i/>
                <w:color w:val="000000"/>
                <w:sz w:val="24"/>
                <w:szCs w:val="24"/>
              </w:rPr>
              <w:t>Chuyển sang Phụ lục 1 điều 1.007</w:t>
            </w:r>
          </w:p>
        </w:tc>
        <w:tc>
          <w:tcPr>
            <w:tcW w:w="4211" w:type="dxa"/>
          </w:tcPr>
          <w:p w:rsidR="000A1EE0" w:rsidRPr="00017389" w:rsidRDefault="000A1EE0" w:rsidP="00017389">
            <w:pPr>
              <w:tabs>
                <w:tab w:val="left" w:pos="0"/>
                <w:tab w:val="left" w:pos="437"/>
              </w:tabs>
              <w:spacing w:after="120"/>
              <w:jc w:val="both"/>
              <w:rPr>
                <w:rFonts w:ascii="Times New Roman" w:hAnsi="Times New Roman"/>
                <w:b/>
                <w:color w:val="000000"/>
                <w:sz w:val="24"/>
                <w:szCs w:val="24"/>
                <w:u w:val="single"/>
                <w:lang w:val="pt-BR"/>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r w:rsidRPr="00017389">
              <w:rPr>
                <w:rFonts w:ascii="Times New Roman" w:hAnsi="Times New Roman"/>
                <w:i/>
                <w:color w:val="000000"/>
                <w:sz w:val="24"/>
                <w:szCs w:val="24"/>
              </w:rPr>
              <w:t>11.003 a (2)</w:t>
            </w:r>
          </w:p>
        </w:tc>
        <w:tc>
          <w:tcPr>
            <w:tcW w:w="4732" w:type="dxa"/>
          </w:tcPr>
          <w:p w:rsidR="003E2559" w:rsidRPr="00017389" w:rsidRDefault="003E2559" w:rsidP="00017389">
            <w:pPr>
              <w:numPr>
                <w:ilvl w:val="1"/>
                <w:numId w:val="7"/>
              </w:numPr>
              <w:autoSpaceDE w:val="0"/>
              <w:autoSpaceDN w:val="0"/>
              <w:adjustRightInd w:val="0"/>
              <w:spacing w:after="0" w:line="240" w:lineRule="auto"/>
              <w:jc w:val="both"/>
              <w:rPr>
                <w:rFonts w:ascii="Times New Roman" w:eastAsiaTheme="minorHAnsi" w:hAnsi="Times New Roman"/>
                <w:color w:val="000000"/>
                <w:sz w:val="24"/>
                <w:szCs w:val="24"/>
                <w:lang w:val="en-GB"/>
              </w:rPr>
            </w:pPr>
            <w:r w:rsidRPr="00017389">
              <w:rPr>
                <w:rFonts w:ascii="Times New Roman" w:eastAsiaTheme="minorHAnsi" w:hAnsi="Times New Roman"/>
                <w:b/>
                <w:bCs/>
                <w:color w:val="000000"/>
                <w:sz w:val="24"/>
                <w:szCs w:val="24"/>
              </w:rPr>
              <w:t>Bay nhào lộn</w:t>
            </w:r>
            <w:r w:rsidRPr="00017389">
              <w:rPr>
                <w:rFonts w:ascii="Times New Roman" w:eastAsiaTheme="minorHAnsi" w:hAnsi="Times New Roman"/>
                <w:color w:val="000000"/>
                <w:sz w:val="24"/>
                <w:szCs w:val="24"/>
              </w:rPr>
              <w:t xml:space="preserve">: Một sự cố ý di chuyển, bất ngờ thay đổi thế bay của một tàu bay, một thế bay không bình thường, hoặc gia tốc (thay đổi tốc độ) không bình thường, nó không cần thiết đối với chuyến bay thông thường; </w:t>
            </w:r>
          </w:p>
        </w:tc>
        <w:tc>
          <w:tcPr>
            <w:tcW w:w="4375" w:type="dxa"/>
            <w:vAlign w:val="center"/>
          </w:tcPr>
          <w:p w:rsidR="003E2559" w:rsidRPr="00017389" w:rsidRDefault="003E2559" w:rsidP="00017389">
            <w:pPr>
              <w:jc w:val="both"/>
              <w:rPr>
                <w:rFonts w:ascii="Times New Roman" w:hAnsi="Times New Roman"/>
                <w:i/>
                <w:color w:val="000000"/>
                <w:sz w:val="24"/>
                <w:szCs w:val="24"/>
              </w:rPr>
            </w:pPr>
            <w:r w:rsidRPr="00017389">
              <w:rPr>
                <w:rFonts w:ascii="Times New Roman" w:hAnsi="Times New Roman"/>
                <w:i/>
                <w:color w:val="000000"/>
                <w:sz w:val="24"/>
                <w:szCs w:val="24"/>
              </w:rPr>
              <w:t>Bãi bỏ. Sử dụng định nghĩa đã có trong Phụ lục 1 điều 1.007</w:t>
            </w:r>
          </w:p>
        </w:tc>
        <w:tc>
          <w:tcPr>
            <w:tcW w:w="4211" w:type="dxa"/>
          </w:tcPr>
          <w:p w:rsidR="003E2559" w:rsidRPr="00017389" w:rsidRDefault="003E2559" w:rsidP="00017389">
            <w:pPr>
              <w:jc w:val="both"/>
              <w:rPr>
                <w:rFonts w:ascii="Times New Roman" w:hAnsi="Times New Roman"/>
                <w:color w:val="000000"/>
                <w:sz w:val="24"/>
                <w:szCs w:val="24"/>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r w:rsidRPr="00017389">
              <w:rPr>
                <w:rFonts w:ascii="Times New Roman" w:hAnsi="Times New Roman"/>
                <w:i/>
                <w:color w:val="000000"/>
                <w:sz w:val="24"/>
                <w:szCs w:val="24"/>
              </w:rPr>
              <w:t>11.003 a (3)</w:t>
            </w:r>
          </w:p>
        </w:tc>
        <w:tc>
          <w:tcPr>
            <w:tcW w:w="4732" w:type="dxa"/>
          </w:tcPr>
          <w:p w:rsidR="003E2559" w:rsidRPr="00017389" w:rsidRDefault="003E2559" w:rsidP="00017389">
            <w:pPr>
              <w:numPr>
                <w:ilvl w:val="1"/>
                <w:numId w:val="8"/>
              </w:numPr>
              <w:autoSpaceDE w:val="0"/>
              <w:autoSpaceDN w:val="0"/>
              <w:adjustRightInd w:val="0"/>
              <w:spacing w:after="0" w:line="240" w:lineRule="auto"/>
              <w:jc w:val="both"/>
              <w:rPr>
                <w:rFonts w:ascii="Times New Roman" w:eastAsiaTheme="minorHAnsi" w:hAnsi="Times New Roman"/>
                <w:b/>
                <w:bCs/>
                <w:color w:val="000000"/>
                <w:sz w:val="24"/>
                <w:szCs w:val="24"/>
              </w:rPr>
            </w:pPr>
            <w:r w:rsidRPr="00017389">
              <w:rPr>
                <w:rFonts w:ascii="Times New Roman" w:eastAsiaTheme="minorHAnsi" w:hAnsi="Times New Roman"/>
                <w:b/>
                <w:bCs/>
                <w:color w:val="000000"/>
                <w:sz w:val="24"/>
                <w:szCs w:val="24"/>
              </w:rPr>
              <w:t>Cờ, băng rôn, khẩu hiệu</w:t>
            </w:r>
            <w:r w:rsidRPr="00017389">
              <w:rPr>
                <w:rFonts w:ascii="Times New Roman" w:eastAsiaTheme="minorHAnsi" w:hAnsi="Times New Roman"/>
                <w:color w:val="000000"/>
                <w:sz w:val="24"/>
                <w:szCs w:val="24"/>
              </w:rPr>
              <w:t xml:space="preserve">. Một dạng tấm quảng cáo được gắn bên ngoài máy bay và được kéo theo máy bay; </w:t>
            </w:r>
          </w:p>
        </w:tc>
        <w:tc>
          <w:tcPr>
            <w:tcW w:w="4375" w:type="dxa"/>
            <w:vAlign w:val="center"/>
          </w:tcPr>
          <w:p w:rsidR="003E2559" w:rsidRPr="00017389" w:rsidRDefault="003E2559" w:rsidP="00017389">
            <w:pPr>
              <w:jc w:val="both"/>
              <w:rPr>
                <w:rFonts w:ascii="Times New Roman" w:eastAsiaTheme="minorHAnsi" w:hAnsi="Times New Roman"/>
                <w:color w:val="000000"/>
                <w:sz w:val="24"/>
                <w:szCs w:val="24"/>
                <w:lang w:val="en-GB"/>
              </w:rPr>
            </w:pPr>
            <w:r w:rsidRPr="00017389">
              <w:rPr>
                <w:rFonts w:ascii="Times New Roman" w:hAnsi="Times New Roman"/>
                <w:i/>
                <w:color w:val="000000"/>
                <w:sz w:val="24"/>
                <w:szCs w:val="24"/>
              </w:rPr>
              <w:t>Chuyển sang Phụ lục 1 điều 1.007</w:t>
            </w:r>
          </w:p>
        </w:tc>
        <w:tc>
          <w:tcPr>
            <w:tcW w:w="4211" w:type="dxa"/>
          </w:tcPr>
          <w:p w:rsidR="003E2559" w:rsidRPr="00017389" w:rsidRDefault="003E2559" w:rsidP="00017389">
            <w:pPr>
              <w:jc w:val="both"/>
              <w:rPr>
                <w:rFonts w:ascii="Times New Roman" w:hAnsi="Times New Roman"/>
                <w:color w:val="000000"/>
                <w:sz w:val="24"/>
                <w:szCs w:val="24"/>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r w:rsidRPr="00017389">
              <w:rPr>
                <w:rFonts w:ascii="Times New Roman" w:hAnsi="Times New Roman"/>
                <w:i/>
                <w:color w:val="000000"/>
                <w:sz w:val="24"/>
                <w:szCs w:val="24"/>
              </w:rPr>
              <w:t>11.003 a (4)</w:t>
            </w:r>
          </w:p>
        </w:tc>
        <w:tc>
          <w:tcPr>
            <w:tcW w:w="4732" w:type="dxa"/>
          </w:tcPr>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b/>
                <w:bCs/>
                <w:color w:val="000000"/>
                <w:sz w:val="24"/>
                <w:szCs w:val="24"/>
              </w:rPr>
              <w:t>Khai thác tàu bay nông nghiệp</w:t>
            </w:r>
            <w:r w:rsidRPr="00017389">
              <w:rPr>
                <w:rFonts w:ascii="Times New Roman" w:eastAsiaTheme="minorHAnsi" w:hAnsi="Times New Roman"/>
                <w:color w:val="000000"/>
                <w:sz w:val="24"/>
                <w:szCs w:val="24"/>
              </w:rPr>
              <w:t xml:space="preserve">: Khai thác tàu bay cho các mục đích: (i) Phun, rải bất kỳ thuốc bảo vệ thực vật nào; </w:t>
            </w:r>
          </w:p>
          <w:p w:rsidR="003E2559" w:rsidRPr="00017389" w:rsidRDefault="003E2559" w:rsidP="00017389">
            <w:pPr>
              <w:numPr>
                <w:ilvl w:val="2"/>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color w:val="000000"/>
                <w:sz w:val="24"/>
                <w:szCs w:val="24"/>
              </w:rPr>
              <w:t xml:space="preserve">(ii) Bón phân hoặc các hóa chất phục vụ cho cây trồng, nhân giống cây, hoặc thuốc trừ các cây không có lợi; hoặc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b/>
                <w:bCs/>
                <w:color w:val="000000"/>
                <w:sz w:val="24"/>
                <w:szCs w:val="24"/>
              </w:rPr>
            </w:pPr>
            <w:r w:rsidRPr="00017389">
              <w:rPr>
                <w:rFonts w:ascii="Times New Roman" w:eastAsiaTheme="minorHAnsi" w:hAnsi="Times New Roman"/>
                <w:color w:val="000000"/>
                <w:sz w:val="24"/>
                <w:szCs w:val="24"/>
              </w:rPr>
              <w:t xml:space="preserve">(iii) Bay gieo hạt, trồng rừng, bảo vệ rừng, nhưng không bao gồm phun thuốc trừ sâu. </w:t>
            </w:r>
          </w:p>
        </w:tc>
        <w:tc>
          <w:tcPr>
            <w:tcW w:w="4375" w:type="dxa"/>
            <w:vAlign w:val="center"/>
          </w:tcPr>
          <w:p w:rsidR="003E2559" w:rsidRPr="00017389" w:rsidRDefault="003E2559" w:rsidP="00017389">
            <w:pPr>
              <w:jc w:val="both"/>
              <w:rPr>
                <w:rFonts w:ascii="Times New Roman" w:eastAsiaTheme="minorHAnsi" w:hAnsi="Times New Roman"/>
                <w:color w:val="000000"/>
                <w:sz w:val="24"/>
                <w:szCs w:val="24"/>
                <w:lang w:val="en-GB"/>
              </w:rPr>
            </w:pPr>
            <w:r w:rsidRPr="00017389">
              <w:rPr>
                <w:rFonts w:ascii="Times New Roman" w:hAnsi="Times New Roman"/>
                <w:i/>
                <w:color w:val="000000"/>
                <w:sz w:val="24"/>
                <w:szCs w:val="24"/>
              </w:rPr>
              <w:t>Bãi bỏ. Sử dụng định nghĩa đã có trong Phụ lục 1 điều 1.007</w:t>
            </w:r>
          </w:p>
        </w:tc>
        <w:tc>
          <w:tcPr>
            <w:tcW w:w="4211" w:type="dxa"/>
          </w:tcPr>
          <w:p w:rsidR="003E2559" w:rsidRPr="00017389" w:rsidRDefault="003E2559" w:rsidP="00017389">
            <w:pPr>
              <w:jc w:val="both"/>
              <w:rPr>
                <w:rFonts w:ascii="Times New Roman" w:hAnsi="Times New Roman"/>
                <w:color w:val="000000"/>
                <w:sz w:val="24"/>
                <w:szCs w:val="24"/>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r w:rsidRPr="00017389">
              <w:rPr>
                <w:rFonts w:ascii="Times New Roman" w:hAnsi="Times New Roman"/>
                <w:i/>
                <w:color w:val="000000"/>
                <w:sz w:val="24"/>
                <w:szCs w:val="24"/>
              </w:rPr>
              <w:t>11.003 a (5)</w:t>
            </w:r>
          </w:p>
        </w:tc>
        <w:tc>
          <w:tcPr>
            <w:tcW w:w="4732" w:type="dxa"/>
          </w:tcPr>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b/>
                <w:bCs/>
                <w:color w:val="000000"/>
                <w:sz w:val="24"/>
                <w:szCs w:val="24"/>
              </w:rPr>
              <w:t>Thuốc bảo vệ thực vật</w:t>
            </w:r>
            <w:r w:rsidRPr="00017389">
              <w:rPr>
                <w:rFonts w:ascii="Times New Roman" w:eastAsiaTheme="minorHAnsi" w:hAnsi="Times New Roman"/>
                <w:color w:val="000000"/>
                <w:sz w:val="24"/>
                <w:szCs w:val="24"/>
              </w:rPr>
              <w:t xml:space="preserve">: Bất kỳ chất hóa học hoặc hỗn hợp chất hóa học dùng cho mục </w:t>
            </w:r>
            <w:r w:rsidRPr="00017389">
              <w:rPr>
                <w:rFonts w:ascii="Times New Roman" w:eastAsiaTheme="minorHAnsi" w:hAnsi="Times New Roman"/>
                <w:color w:val="000000"/>
                <w:sz w:val="24"/>
                <w:szCs w:val="24"/>
              </w:rPr>
              <w:lastRenderedPageBreak/>
              <w:t xml:space="preserve">đích: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color w:val="000000"/>
                <w:sz w:val="24"/>
                <w:szCs w:val="24"/>
              </w:rPr>
              <w:t xml:space="preserve">(i) Ngăn cản, phá hủy, đẩy lùi, hoặc giảm nhẹ bất kỳ sâu bọ, động vật gặm nhấm, giun, nấm, và các dạng động thực vật khác hoặc vi rút, ngoại trừ các vi rút trong hoặc trên người hoặc động vật khác mà Việt Nam công bố là có hại; và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b/>
                <w:bCs/>
                <w:color w:val="000000"/>
                <w:sz w:val="24"/>
                <w:szCs w:val="24"/>
              </w:rPr>
            </w:pPr>
            <w:r w:rsidRPr="00017389">
              <w:rPr>
                <w:rFonts w:ascii="Times New Roman" w:eastAsiaTheme="minorHAnsi" w:hAnsi="Times New Roman"/>
                <w:color w:val="000000"/>
                <w:sz w:val="24"/>
                <w:szCs w:val="24"/>
              </w:rPr>
              <w:t>(ii) Sử dụng để điều chỉnh cây trồng, làm rụng lá hoặc làm khô.</w:t>
            </w:r>
          </w:p>
        </w:tc>
        <w:tc>
          <w:tcPr>
            <w:tcW w:w="4375" w:type="dxa"/>
            <w:vAlign w:val="center"/>
          </w:tcPr>
          <w:p w:rsidR="003E2559" w:rsidRPr="00017389" w:rsidRDefault="003E2559" w:rsidP="00017389">
            <w:pPr>
              <w:jc w:val="both"/>
              <w:rPr>
                <w:rFonts w:ascii="Times New Roman" w:eastAsiaTheme="minorHAnsi" w:hAnsi="Times New Roman"/>
                <w:color w:val="000000"/>
                <w:sz w:val="24"/>
                <w:szCs w:val="24"/>
                <w:lang w:val="en-GB"/>
              </w:rPr>
            </w:pPr>
            <w:r w:rsidRPr="00017389">
              <w:rPr>
                <w:rFonts w:ascii="Times New Roman" w:hAnsi="Times New Roman"/>
                <w:i/>
                <w:color w:val="000000"/>
                <w:sz w:val="24"/>
                <w:szCs w:val="24"/>
              </w:rPr>
              <w:lastRenderedPageBreak/>
              <w:t>Chuyển sang Phụ lục 1 điều 1.007</w:t>
            </w:r>
          </w:p>
        </w:tc>
        <w:tc>
          <w:tcPr>
            <w:tcW w:w="4211" w:type="dxa"/>
          </w:tcPr>
          <w:p w:rsidR="003E2559" w:rsidRPr="00017389" w:rsidRDefault="003E2559" w:rsidP="00017389">
            <w:pPr>
              <w:jc w:val="both"/>
              <w:rPr>
                <w:rFonts w:ascii="Times New Roman" w:hAnsi="Times New Roman"/>
                <w:color w:val="000000"/>
                <w:sz w:val="24"/>
                <w:szCs w:val="24"/>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r w:rsidRPr="00017389">
              <w:rPr>
                <w:rFonts w:ascii="Times New Roman" w:hAnsi="Times New Roman"/>
                <w:i/>
                <w:color w:val="000000"/>
                <w:sz w:val="24"/>
                <w:szCs w:val="24"/>
              </w:rPr>
              <w:lastRenderedPageBreak/>
              <w:t>11.003 a (6)</w:t>
            </w:r>
          </w:p>
        </w:tc>
        <w:tc>
          <w:tcPr>
            <w:tcW w:w="4732" w:type="dxa"/>
          </w:tcPr>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b/>
                <w:bCs/>
                <w:color w:val="000000"/>
                <w:sz w:val="24"/>
                <w:szCs w:val="24"/>
              </w:rPr>
              <w:t>Thùng (bộ phận) cẩu hàng của trực thăng</w:t>
            </w:r>
            <w:r w:rsidRPr="00017389">
              <w:rPr>
                <w:rFonts w:ascii="Times New Roman" w:eastAsiaTheme="minorHAnsi" w:hAnsi="Times New Roman"/>
                <w:color w:val="000000"/>
                <w:sz w:val="24"/>
                <w:szCs w:val="24"/>
              </w:rPr>
              <w:t xml:space="preserve">: Cấu hình để cẩu hàng ngoài bằng trực thăng: (i) Hạng A – Bộ phận cẩu hàng ngoài gắn cố định vào trực thăng, không thể vứt bỏ, và không thể thả xuống thấp hơn càng của tàu bay, được sử dụng để vận chuyển hàng;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color w:val="000000"/>
                <w:sz w:val="24"/>
                <w:szCs w:val="24"/>
              </w:rPr>
              <w:t xml:space="preserve">(ii) Hạng B – Bộ phận cẩu hàng treo ngoài trực thăng, có thể vứt bỏ được, và di chuyển tự do trên cạn hoặc dưới nước trong khi trực thăng hoạt động;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color w:val="000000"/>
                <w:sz w:val="24"/>
                <w:szCs w:val="24"/>
              </w:rPr>
              <w:t xml:space="preserve">(iii) Hạng C – Bộ phận cẩu hàng treo ngoài trực thăng, chúng có thể vứt bỏ được, nhưng kéo lê trên (chạm với) mặt đất hoặc mặt nước trong khi trực thăng hoạt động;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color w:val="000000"/>
                <w:sz w:val="24"/>
                <w:szCs w:val="24"/>
              </w:rPr>
              <w:t xml:space="preserve">(iv) Hạng D – Treo cẩu người bên ngoài từ trực thăng.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b/>
                <w:bCs/>
                <w:color w:val="000000"/>
                <w:sz w:val="24"/>
                <w:szCs w:val="24"/>
              </w:rPr>
            </w:pPr>
          </w:p>
        </w:tc>
        <w:tc>
          <w:tcPr>
            <w:tcW w:w="4375" w:type="dxa"/>
            <w:vAlign w:val="center"/>
          </w:tcPr>
          <w:p w:rsidR="003E2559" w:rsidRPr="00017389" w:rsidRDefault="003E2559" w:rsidP="00017389">
            <w:pPr>
              <w:jc w:val="both"/>
              <w:rPr>
                <w:rFonts w:ascii="Times New Roman" w:eastAsiaTheme="minorHAnsi" w:hAnsi="Times New Roman"/>
                <w:color w:val="000000"/>
                <w:sz w:val="24"/>
                <w:szCs w:val="24"/>
                <w:lang w:val="en-GB"/>
              </w:rPr>
            </w:pPr>
            <w:r w:rsidRPr="00017389">
              <w:rPr>
                <w:rFonts w:ascii="Times New Roman" w:hAnsi="Times New Roman"/>
                <w:i/>
                <w:color w:val="000000"/>
                <w:sz w:val="24"/>
                <w:szCs w:val="24"/>
              </w:rPr>
              <w:t>Chuyển sang Phụ lục 1 điều 1.007</w:t>
            </w:r>
          </w:p>
        </w:tc>
        <w:tc>
          <w:tcPr>
            <w:tcW w:w="4211" w:type="dxa"/>
          </w:tcPr>
          <w:p w:rsidR="003E2559" w:rsidRPr="00017389" w:rsidRDefault="003E2559" w:rsidP="00017389">
            <w:pPr>
              <w:jc w:val="both"/>
              <w:rPr>
                <w:rFonts w:ascii="Times New Roman" w:hAnsi="Times New Roman"/>
                <w:color w:val="000000"/>
                <w:sz w:val="24"/>
                <w:szCs w:val="24"/>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rsidR="003E2559" w:rsidRPr="00017389" w:rsidRDefault="003E2559" w:rsidP="00017389">
            <w:pPr>
              <w:autoSpaceDE w:val="0"/>
              <w:autoSpaceDN w:val="0"/>
              <w:adjustRightInd w:val="0"/>
              <w:spacing w:after="0" w:line="240" w:lineRule="auto"/>
              <w:jc w:val="both"/>
              <w:rPr>
                <w:rFonts w:ascii="Times New Roman" w:eastAsiaTheme="minorHAnsi" w:hAnsi="Times New Roman"/>
                <w:b/>
                <w:bCs/>
                <w:color w:val="000000"/>
                <w:sz w:val="24"/>
                <w:szCs w:val="24"/>
              </w:rPr>
            </w:pPr>
          </w:p>
        </w:tc>
        <w:tc>
          <w:tcPr>
            <w:tcW w:w="4375" w:type="dxa"/>
            <w:vAlign w:val="center"/>
          </w:tcPr>
          <w:p w:rsidR="003E2559" w:rsidRPr="00017389" w:rsidRDefault="003E2559" w:rsidP="00017389">
            <w:pPr>
              <w:jc w:val="both"/>
              <w:rPr>
                <w:rFonts w:ascii="Times New Roman" w:eastAsiaTheme="minorHAnsi" w:hAnsi="Times New Roman"/>
                <w:color w:val="000000"/>
                <w:sz w:val="24"/>
                <w:szCs w:val="24"/>
                <w:lang w:val="en-GB"/>
              </w:rPr>
            </w:pPr>
            <w:r w:rsidRPr="00017389">
              <w:rPr>
                <w:rFonts w:ascii="Times New Roman" w:eastAsiaTheme="minorHAnsi" w:hAnsi="Times New Roman"/>
                <w:color w:val="000000"/>
                <w:sz w:val="24"/>
                <w:szCs w:val="24"/>
                <w:lang w:val="en-GB"/>
              </w:rPr>
              <w:t>Hàng không chung, vận chuyển hàng không thương mại, công việc trên không</w:t>
            </w:r>
          </w:p>
        </w:tc>
        <w:tc>
          <w:tcPr>
            <w:tcW w:w="4211" w:type="dxa"/>
          </w:tcPr>
          <w:p w:rsidR="003E2559" w:rsidRPr="00017389" w:rsidRDefault="003E2559" w:rsidP="00017389">
            <w:pPr>
              <w:jc w:val="both"/>
              <w:rPr>
                <w:rFonts w:ascii="Times New Roman" w:hAnsi="Times New Roman"/>
                <w:color w:val="000000"/>
                <w:sz w:val="24"/>
                <w:szCs w:val="24"/>
              </w:rPr>
            </w:pPr>
          </w:p>
        </w:tc>
      </w:tr>
      <w:tr w:rsidR="003E2559" w:rsidRPr="00017389" w:rsidTr="00BC6D88">
        <w:trPr>
          <w:trHeight w:val="473"/>
        </w:trPr>
        <w:tc>
          <w:tcPr>
            <w:tcW w:w="1506" w:type="dxa"/>
            <w:tcBorders>
              <w:top w:val="single" w:sz="4" w:space="0" w:color="000000"/>
              <w:bottom w:val="single" w:sz="4" w:space="0" w:color="000000"/>
            </w:tcBorders>
            <w:vAlign w:val="center"/>
          </w:tcPr>
          <w:p w:rsidR="003E2559" w:rsidRPr="00017389" w:rsidRDefault="003E2559"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b/>
                <w:bCs/>
                <w:color w:val="000000"/>
                <w:sz w:val="24"/>
                <w:szCs w:val="24"/>
              </w:rPr>
              <w:t>PHỤ LỤC 1 ĐIỀU 1.007 (486)</w:t>
            </w:r>
          </w:p>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rsidR="003E2559" w:rsidRPr="00017389" w:rsidRDefault="003E2559" w:rsidP="00017389">
            <w:pPr>
              <w:autoSpaceDE w:val="0"/>
              <w:autoSpaceDN w:val="0"/>
              <w:adjustRightInd w:val="0"/>
              <w:spacing w:after="0" w:line="240" w:lineRule="auto"/>
              <w:jc w:val="both"/>
              <w:rPr>
                <w:rFonts w:ascii="Times New Roman" w:eastAsiaTheme="minorHAnsi" w:hAnsi="Times New Roman"/>
                <w:b/>
                <w:bCs/>
                <w:color w:val="000000"/>
                <w:sz w:val="24"/>
                <w:szCs w:val="24"/>
              </w:rPr>
            </w:pPr>
          </w:p>
        </w:tc>
        <w:tc>
          <w:tcPr>
            <w:tcW w:w="4375" w:type="dxa"/>
            <w:vAlign w:val="center"/>
          </w:tcPr>
          <w:p w:rsidR="008F4C10" w:rsidRPr="00017389" w:rsidRDefault="003E2559" w:rsidP="00017389">
            <w:pPr>
              <w:pStyle w:val="Default"/>
              <w:numPr>
                <w:ilvl w:val="1"/>
                <w:numId w:val="13"/>
              </w:numPr>
              <w:jc w:val="both"/>
            </w:pPr>
            <w:r w:rsidRPr="00017389">
              <w:rPr>
                <w:b/>
                <w:lang w:val="en-GB"/>
              </w:rPr>
              <w:t xml:space="preserve">Công việc trên không: </w:t>
            </w:r>
            <w:r w:rsidR="008F4C10" w:rsidRPr="00017389">
              <w:rPr>
                <w:lang w:val="en-GB"/>
              </w:rPr>
              <w:t xml:space="preserve">Là </w:t>
            </w:r>
            <w:r w:rsidR="00112E26" w:rsidRPr="00017389">
              <w:rPr>
                <w:lang w:val="en-GB"/>
              </w:rPr>
              <w:t>hoạt động</w:t>
            </w:r>
            <w:r w:rsidR="008F4C10" w:rsidRPr="00017389">
              <w:rPr>
                <w:lang w:val="en-GB"/>
              </w:rPr>
              <w:t xml:space="preserve"> khai thác tàu bay thực hiện các dịch vụ chuyên dụng phục vụ nông nghiệp, xây </w:t>
            </w:r>
            <w:r w:rsidR="008F4C10" w:rsidRPr="00017389">
              <w:rPr>
                <w:lang w:val="en-GB"/>
              </w:rPr>
              <w:lastRenderedPageBreak/>
              <w:t>dựng, chụp ảnh, trắc địa, giám sát và tuần tra, tìm kiếm và cứu nạn, bay quảng cáo và các lĩnh vực kinh tế, xã hội khác;</w:t>
            </w:r>
          </w:p>
          <w:p w:rsidR="008F4C10" w:rsidRPr="00017389" w:rsidRDefault="008F4C10" w:rsidP="00017389">
            <w:pPr>
              <w:pStyle w:val="Default"/>
              <w:numPr>
                <w:ilvl w:val="1"/>
                <w:numId w:val="13"/>
              </w:numPr>
              <w:jc w:val="both"/>
              <w:rPr>
                <w:lang w:val="en-GB"/>
              </w:rPr>
            </w:pPr>
            <w:r w:rsidRPr="00017389">
              <w:rPr>
                <w:b/>
                <w:lang w:val="en-GB"/>
              </w:rPr>
              <w:t>Aerial work:</w:t>
            </w:r>
            <w:r w:rsidRPr="00017389">
              <w:rPr>
                <w:lang w:val="en-GB"/>
              </w:rPr>
              <w:t>An aircraft operation in which an aircraft is used for specialized services such as agriculture, construction,</w:t>
            </w:r>
          </w:p>
          <w:p w:rsidR="008F4C10" w:rsidRPr="00017389" w:rsidRDefault="008F4C10" w:rsidP="00017389">
            <w:pPr>
              <w:pStyle w:val="Default"/>
              <w:numPr>
                <w:ilvl w:val="1"/>
                <w:numId w:val="13"/>
              </w:numPr>
              <w:jc w:val="both"/>
              <w:rPr>
                <w:lang w:val="en-GB"/>
              </w:rPr>
            </w:pPr>
            <w:r w:rsidRPr="00017389">
              <w:rPr>
                <w:lang w:val="en-GB"/>
              </w:rPr>
              <w:t>photography, surveying, observation and patrol, search and rescue, aerial advertisement, etc.</w:t>
            </w:r>
          </w:p>
          <w:p w:rsidR="008F4C10" w:rsidRPr="00017389" w:rsidRDefault="008F4C10" w:rsidP="00017389">
            <w:pPr>
              <w:pStyle w:val="Default"/>
              <w:numPr>
                <w:ilvl w:val="1"/>
                <w:numId w:val="13"/>
              </w:numPr>
              <w:jc w:val="both"/>
              <w:rPr>
                <w:lang w:val="en-GB"/>
              </w:rPr>
            </w:pPr>
            <w:r w:rsidRPr="00017389">
              <w:rPr>
                <w:lang w:val="en-GB"/>
              </w:rPr>
              <w:t>(ICAO Annex 6 P2 C1.1 – Definition)</w:t>
            </w:r>
          </w:p>
          <w:p w:rsidR="008F4C10" w:rsidRPr="00017389" w:rsidRDefault="008F4C10" w:rsidP="00017389">
            <w:pPr>
              <w:jc w:val="both"/>
              <w:rPr>
                <w:rFonts w:ascii="Times New Roman" w:eastAsiaTheme="minorHAnsi" w:hAnsi="Times New Roman"/>
                <w:b/>
                <w:color w:val="000000"/>
                <w:sz w:val="24"/>
                <w:szCs w:val="24"/>
                <w:lang w:val="en-GB"/>
              </w:rPr>
            </w:pPr>
          </w:p>
        </w:tc>
        <w:tc>
          <w:tcPr>
            <w:tcW w:w="4211" w:type="dxa"/>
          </w:tcPr>
          <w:p w:rsidR="003E2559" w:rsidRPr="00017389" w:rsidRDefault="008F4C10" w:rsidP="00017389">
            <w:pPr>
              <w:jc w:val="both"/>
              <w:rPr>
                <w:rFonts w:ascii="Times New Roman" w:hAnsi="Times New Roman"/>
                <w:color w:val="000000"/>
                <w:sz w:val="24"/>
                <w:szCs w:val="24"/>
              </w:rPr>
            </w:pPr>
            <w:r w:rsidRPr="00017389">
              <w:rPr>
                <w:rFonts w:ascii="Times New Roman" w:hAnsi="Times New Roman"/>
                <w:color w:val="000000"/>
                <w:sz w:val="24"/>
                <w:szCs w:val="24"/>
              </w:rPr>
              <w:lastRenderedPageBreak/>
              <w:t>Bổ sung mới phù hợp ICAO Annex 6 Part 2</w:t>
            </w:r>
          </w:p>
        </w:tc>
      </w:tr>
      <w:tr w:rsidR="003E2559" w:rsidRPr="00017389" w:rsidTr="00BC6D88">
        <w:trPr>
          <w:trHeight w:val="473"/>
        </w:trPr>
        <w:tc>
          <w:tcPr>
            <w:tcW w:w="1506" w:type="dxa"/>
            <w:tcBorders>
              <w:top w:val="single" w:sz="4" w:space="0" w:color="000000"/>
              <w:bottom w:val="single" w:sz="4" w:space="0" w:color="000000"/>
            </w:tcBorders>
            <w:vAlign w:val="center"/>
          </w:tcPr>
          <w:p w:rsidR="008F4C10" w:rsidRPr="00017389" w:rsidRDefault="008F4C10"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b/>
                <w:bCs/>
                <w:color w:val="000000"/>
                <w:sz w:val="24"/>
                <w:szCs w:val="24"/>
              </w:rPr>
              <w:lastRenderedPageBreak/>
              <w:t>PHỤ LỤC 1 ĐIỀU 1.007 (194)</w:t>
            </w:r>
          </w:p>
          <w:p w:rsidR="003E2559" w:rsidRPr="00017389" w:rsidRDefault="003E2559" w:rsidP="00017389">
            <w:pPr>
              <w:widowControl w:val="0"/>
              <w:autoSpaceDE w:val="0"/>
              <w:autoSpaceDN w:val="0"/>
              <w:adjustRightInd w:val="0"/>
              <w:spacing w:before="89"/>
              <w:ind w:right="-97"/>
              <w:jc w:val="both"/>
              <w:rPr>
                <w:rFonts w:ascii="Times New Roman" w:hAnsi="Times New Roman"/>
                <w:i/>
                <w:color w:val="000000"/>
                <w:sz w:val="24"/>
                <w:szCs w:val="24"/>
              </w:rPr>
            </w:pPr>
          </w:p>
        </w:tc>
        <w:tc>
          <w:tcPr>
            <w:tcW w:w="4732" w:type="dxa"/>
          </w:tcPr>
          <w:p w:rsidR="008F4C10" w:rsidRPr="00017389" w:rsidRDefault="008F4C10" w:rsidP="00017389">
            <w:pPr>
              <w:autoSpaceDE w:val="0"/>
              <w:autoSpaceDN w:val="0"/>
              <w:adjustRightInd w:val="0"/>
              <w:spacing w:after="0" w:line="240" w:lineRule="auto"/>
              <w:jc w:val="both"/>
              <w:rPr>
                <w:rFonts w:ascii="Times New Roman" w:eastAsiaTheme="minorHAnsi" w:hAnsi="Times New Roman"/>
                <w:color w:val="000000"/>
                <w:sz w:val="24"/>
                <w:szCs w:val="24"/>
              </w:rPr>
            </w:pPr>
            <w:r w:rsidRPr="00017389">
              <w:rPr>
                <w:rFonts w:ascii="Times New Roman" w:eastAsiaTheme="minorHAnsi" w:hAnsi="Times New Roman"/>
                <w:b/>
                <w:bCs/>
                <w:color w:val="000000"/>
                <w:sz w:val="24"/>
                <w:szCs w:val="24"/>
              </w:rPr>
              <w:t xml:space="preserve">(194) Hoạt động hàng không chung: </w:t>
            </w:r>
            <w:r w:rsidRPr="00017389">
              <w:rPr>
                <w:rFonts w:ascii="Times New Roman" w:eastAsiaTheme="minorHAnsi" w:hAnsi="Times New Roman"/>
                <w:color w:val="000000"/>
                <w:sz w:val="24"/>
                <w:szCs w:val="24"/>
              </w:rPr>
              <w:t xml:space="preserve">Hoạt động hàng không chung là hoạt động sử dụng tàu bay để thực hiện các chuyến bay trong các lĩnh vực công nghiệp, nông nghiệp, lâm nghiệp, ngư nghiệp, xây dựng và các lĩnh vực kinh tế khác, phục vụ tìm kiếm, cứu nạn, cấp cứu, cứu hộ, y tế, nghiên cứu khoa học, văn hoá, thể thao, đào tạo, huấn luyện, bay hiệu chuẩn, đo đạc, chụp ảnh, quay phim, bay phục vụ nhu cầu cá nhân và các hoạt động bay dân dụng khác không nhằm mục đích vận chuyển công cộng hành khách, hành lý, hàng hoá, bưu phẩm, bưu kiện, thư. </w:t>
            </w:r>
          </w:p>
          <w:p w:rsidR="003E2559" w:rsidRPr="00017389" w:rsidRDefault="003E2559" w:rsidP="00017389">
            <w:pPr>
              <w:autoSpaceDE w:val="0"/>
              <w:autoSpaceDN w:val="0"/>
              <w:adjustRightInd w:val="0"/>
              <w:spacing w:after="0" w:line="240" w:lineRule="auto"/>
              <w:jc w:val="both"/>
              <w:rPr>
                <w:rFonts w:ascii="Times New Roman" w:eastAsiaTheme="minorHAnsi" w:hAnsi="Times New Roman"/>
                <w:b/>
                <w:bCs/>
                <w:color w:val="000000"/>
                <w:sz w:val="24"/>
                <w:szCs w:val="24"/>
              </w:rPr>
            </w:pPr>
          </w:p>
        </w:tc>
        <w:tc>
          <w:tcPr>
            <w:tcW w:w="4375" w:type="dxa"/>
            <w:vAlign w:val="center"/>
          </w:tcPr>
          <w:p w:rsidR="003E2559" w:rsidRPr="00017389" w:rsidRDefault="008F4C10" w:rsidP="00017389">
            <w:pPr>
              <w:jc w:val="both"/>
              <w:rPr>
                <w:rFonts w:ascii="Times New Roman" w:eastAsiaTheme="minorHAnsi" w:hAnsi="Times New Roman"/>
                <w:bCs/>
                <w:color w:val="000000"/>
                <w:sz w:val="24"/>
                <w:szCs w:val="24"/>
              </w:rPr>
            </w:pPr>
            <w:r w:rsidRPr="00017389">
              <w:rPr>
                <w:rFonts w:ascii="Times New Roman" w:eastAsiaTheme="minorHAnsi" w:hAnsi="Times New Roman"/>
                <w:b/>
                <w:bCs/>
                <w:color w:val="000000"/>
                <w:sz w:val="24"/>
                <w:szCs w:val="24"/>
              </w:rPr>
              <w:t>(194) Hoạt động hàng không chung:</w:t>
            </w:r>
            <w:r w:rsidRPr="00017389">
              <w:rPr>
                <w:rFonts w:ascii="Times New Roman" w:eastAsiaTheme="minorHAnsi" w:hAnsi="Times New Roman"/>
                <w:bCs/>
                <w:color w:val="000000"/>
                <w:sz w:val="24"/>
                <w:szCs w:val="24"/>
              </w:rPr>
              <w:t>Là các hoạt động khai thác tàu bay với mục đích khác vận chuyển hàng không thương mại và thực hiện các công việc trên không.</w:t>
            </w:r>
          </w:p>
          <w:p w:rsidR="008F4C10" w:rsidRPr="00017389" w:rsidRDefault="008F4C10" w:rsidP="00017389">
            <w:pPr>
              <w:jc w:val="both"/>
              <w:rPr>
                <w:rFonts w:ascii="Times New Roman" w:eastAsiaTheme="minorHAnsi" w:hAnsi="Times New Roman"/>
                <w:bCs/>
                <w:color w:val="000000"/>
                <w:sz w:val="24"/>
                <w:szCs w:val="24"/>
              </w:rPr>
            </w:pPr>
            <w:r w:rsidRPr="00017389">
              <w:rPr>
                <w:rFonts w:ascii="Times New Roman" w:eastAsiaTheme="minorHAnsi" w:hAnsi="Times New Roman"/>
                <w:b/>
                <w:bCs/>
                <w:color w:val="000000"/>
                <w:sz w:val="24"/>
                <w:szCs w:val="24"/>
              </w:rPr>
              <w:t>General aviation operation:</w:t>
            </w:r>
            <w:r w:rsidRPr="00017389">
              <w:rPr>
                <w:rFonts w:ascii="Times New Roman" w:eastAsiaTheme="minorHAnsi" w:hAnsi="Times New Roman"/>
                <w:bCs/>
                <w:color w:val="000000"/>
                <w:sz w:val="24"/>
                <w:szCs w:val="24"/>
              </w:rPr>
              <w:t xml:space="preserve"> An aircraft operation other than a commercial air transport operation or an aerial work operation</w:t>
            </w:r>
          </w:p>
          <w:p w:rsidR="008F4C10" w:rsidRPr="00017389" w:rsidRDefault="008F4C10" w:rsidP="00017389">
            <w:pPr>
              <w:pStyle w:val="Default"/>
              <w:numPr>
                <w:ilvl w:val="1"/>
                <w:numId w:val="13"/>
              </w:numPr>
              <w:jc w:val="both"/>
              <w:rPr>
                <w:lang w:val="en-GB"/>
              </w:rPr>
            </w:pPr>
            <w:r w:rsidRPr="00017389">
              <w:rPr>
                <w:lang w:val="en-GB"/>
              </w:rPr>
              <w:t>(ICAO Annex 6 P2 C1.1 – Definition)</w:t>
            </w:r>
          </w:p>
          <w:p w:rsidR="008F4C10" w:rsidRPr="00017389" w:rsidRDefault="008F4C10" w:rsidP="00017389">
            <w:pPr>
              <w:jc w:val="both"/>
              <w:rPr>
                <w:rFonts w:ascii="Times New Roman" w:eastAsiaTheme="minorHAnsi" w:hAnsi="Times New Roman"/>
                <w:color w:val="000000"/>
                <w:sz w:val="24"/>
                <w:szCs w:val="24"/>
                <w:lang w:val="en-GB"/>
              </w:rPr>
            </w:pPr>
          </w:p>
        </w:tc>
        <w:tc>
          <w:tcPr>
            <w:tcW w:w="4211" w:type="dxa"/>
          </w:tcPr>
          <w:p w:rsidR="008F4C10" w:rsidRPr="00017389" w:rsidRDefault="008F4C10" w:rsidP="00017389">
            <w:pPr>
              <w:autoSpaceDE w:val="0"/>
              <w:autoSpaceDN w:val="0"/>
              <w:adjustRightInd w:val="0"/>
              <w:spacing w:after="0" w:line="240" w:lineRule="auto"/>
              <w:jc w:val="both"/>
              <w:rPr>
                <w:rFonts w:ascii="Times New Roman" w:eastAsiaTheme="minorHAnsi" w:hAnsi="Times New Roman"/>
                <w:b/>
                <w:bCs/>
                <w:i/>
                <w:iCs/>
                <w:sz w:val="24"/>
                <w:szCs w:val="24"/>
              </w:rPr>
            </w:pPr>
            <w:r w:rsidRPr="00017389">
              <w:rPr>
                <w:rFonts w:ascii="Times New Roman" w:hAnsi="Times New Roman"/>
                <w:color w:val="000000"/>
                <w:sz w:val="24"/>
                <w:szCs w:val="24"/>
              </w:rPr>
              <w:t>Bổ sung mới phù hợp ICAO Annex 6 Part 2</w:t>
            </w:r>
          </w:p>
          <w:p w:rsidR="003E2559" w:rsidRPr="00017389" w:rsidRDefault="003E2559" w:rsidP="00017389">
            <w:pPr>
              <w:autoSpaceDE w:val="0"/>
              <w:autoSpaceDN w:val="0"/>
              <w:adjustRightInd w:val="0"/>
              <w:spacing w:after="0" w:line="240" w:lineRule="auto"/>
              <w:jc w:val="both"/>
              <w:rPr>
                <w:rFonts w:ascii="Times New Roman" w:hAnsi="Times New Roman"/>
                <w:color w:val="000000"/>
                <w:sz w:val="24"/>
                <w:szCs w:val="24"/>
              </w:rPr>
            </w:pPr>
          </w:p>
        </w:tc>
      </w:tr>
    </w:tbl>
    <w:p w:rsidR="000A1EE0" w:rsidRDefault="000A1EE0"/>
    <w:sectPr w:rsidR="000A1EE0" w:rsidSect="00EC32B2">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8FB31A"/>
    <w:multiLevelType w:val="hybridMultilevel"/>
    <w:tmpl w:val="DB98F6FE"/>
    <w:lvl w:ilvl="0" w:tplc="F904B53E">
      <w:start w:val="1"/>
      <w:numFmt w:val="lowerLetter"/>
      <w:lvlText w:val=""/>
      <w:lvlJc w:val="left"/>
    </w:lvl>
    <w:lvl w:ilvl="1" w:tplc="BFCEEC66">
      <w:numFmt w:val="none"/>
      <w:lvlText w:val=""/>
      <w:lvlJc w:val="left"/>
      <w:pPr>
        <w:tabs>
          <w:tab w:val="num" w:pos="360"/>
        </w:tabs>
      </w:pPr>
    </w:lvl>
    <w:lvl w:ilvl="2" w:tplc="A9D279E4">
      <w:numFmt w:val="none"/>
      <w:lvlText w:val=""/>
      <w:lvlJc w:val="left"/>
      <w:pPr>
        <w:tabs>
          <w:tab w:val="num" w:pos="360"/>
        </w:tabs>
      </w:pPr>
    </w:lvl>
    <w:lvl w:ilvl="3" w:tplc="BC3CF330">
      <w:numFmt w:val="decimal"/>
      <w:lvlText w:val=""/>
      <w:lvlJc w:val="left"/>
    </w:lvl>
    <w:lvl w:ilvl="4" w:tplc="FA26253C">
      <w:numFmt w:val="decimal"/>
      <w:lvlText w:val=""/>
      <w:lvlJc w:val="left"/>
    </w:lvl>
    <w:lvl w:ilvl="5" w:tplc="D618EF38">
      <w:numFmt w:val="decimal"/>
      <w:lvlText w:val=""/>
      <w:lvlJc w:val="left"/>
    </w:lvl>
    <w:lvl w:ilvl="6" w:tplc="F80C773E">
      <w:numFmt w:val="decimal"/>
      <w:lvlText w:val=""/>
      <w:lvlJc w:val="left"/>
    </w:lvl>
    <w:lvl w:ilvl="7" w:tplc="13505168">
      <w:numFmt w:val="decimal"/>
      <w:lvlText w:val=""/>
      <w:lvlJc w:val="left"/>
    </w:lvl>
    <w:lvl w:ilvl="8" w:tplc="9C82A8CC">
      <w:numFmt w:val="decimal"/>
      <w:lvlText w:val=""/>
      <w:lvlJc w:val="left"/>
    </w:lvl>
  </w:abstractNum>
  <w:abstractNum w:abstractNumId="1">
    <w:nsid w:val="B46DEFE1"/>
    <w:multiLevelType w:val="hybridMultilevel"/>
    <w:tmpl w:val="1D7B1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6B9FA6"/>
    <w:multiLevelType w:val="hybridMultilevel"/>
    <w:tmpl w:val="31DA0890"/>
    <w:lvl w:ilvl="0" w:tplc="B98813B0">
      <w:start w:val="1"/>
      <w:numFmt w:val="lowerLetter"/>
      <w:lvlText w:val=""/>
      <w:lvlJc w:val="left"/>
    </w:lvl>
    <w:lvl w:ilvl="1" w:tplc="9A2E4956">
      <w:numFmt w:val="none"/>
      <w:lvlText w:val=""/>
      <w:lvlJc w:val="left"/>
      <w:pPr>
        <w:tabs>
          <w:tab w:val="num" w:pos="360"/>
        </w:tabs>
      </w:pPr>
    </w:lvl>
    <w:lvl w:ilvl="2" w:tplc="DADA66FC">
      <w:numFmt w:val="none"/>
      <w:lvlText w:val=""/>
      <w:lvlJc w:val="left"/>
      <w:pPr>
        <w:tabs>
          <w:tab w:val="num" w:pos="360"/>
        </w:tabs>
      </w:pPr>
    </w:lvl>
    <w:lvl w:ilvl="3" w:tplc="5F9AFEB6">
      <w:numFmt w:val="decimal"/>
      <w:lvlText w:val=""/>
      <w:lvlJc w:val="left"/>
    </w:lvl>
    <w:lvl w:ilvl="4" w:tplc="215E91C2">
      <w:numFmt w:val="decimal"/>
      <w:lvlText w:val=""/>
      <w:lvlJc w:val="left"/>
    </w:lvl>
    <w:lvl w:ilvl="5" w:tplc="35A42DE8">
      <w:numFmt w:val="decimal"/>
      <w:lvlText w:val=""/>
      <w:lvlJc w:val="left"/>
    </w:lvl>
    <w:lvl w:ilvl="6" w:tplc="7C54330E">
      <w:numFmt w:val="decimal"/>
      <w:lvlText w:val=""/>
      <w:lvlJc w:val="left"/>
    </w:lvl>
    <w:lvl w:ilvl="7" w:tplc="EA463ECA">
      <w:numFmt w:val="decimal"/>
      <w:lvlText w:val=""/>
      <w:lvlJc w:val="left"/>
    </w:lvl>
    <w:lvl w:ilvl="8" w:tplc="1D9410E2">
      <w:numFmt w:val="decimal"/>
      <w:lvlText w:val=""/>
      <w:lvlJc w:val="left"/>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EEE150"/>
    <w:multiLevelType w:val="hybridMultilevel"/>
    <w:tmpl w:val="0538FE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EF7E3B9"/>
    <w:multiLevelType w:val="hybridMultilevel"/>
    <w:tmpl w:val="B0D021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36CB447"/>
    <w:multiLevelType w:val="hybridMultilevel"/>
    <w:tmpl w:val="EDAC7098"/>
    <w:lvl w:ilvl="0" w:tplc="196EE88A">
      <w:start w:val="1"/>
      <w:numFmt w:val="lowerLetter"/>
      <w:lvlText w:val=""/>
      <w:lvlJc w:val="left"/>
    </w:lvl>
    <w:lvl w:ilvl="1" w:tplc="7BC0FC18">
      <w:numFmt w:val="none"/>
      <w:lvlText w:val=""/>
      <w:lvlJc w:val="left"/>
      <w:pPr>
        <w:tabs>
          <w:tab w:val="num" w:pos="360"/>
        </w:tabs>
      </w:pPr>
    </w:lvl>
    <w:lvl w:ilvl="2" w:tplc="E922694C">
      <w:numFmt w:val="none"/>
      <w:lvlText w:val=""/>
      <w:lvlJc w:val="left"/>
      <w:pPr>
        <w:tabs>
          <w:tab w:val="num" w:pos="360"/>
        </w:tabs>
      </w:pPr>
    </w:lvl>
    <w:lvl w:ilvl="3" w:tplc="ED36BF38">
      <w:numFmt w:val="decimal"/>
      <w:lvlText w:val=""/>
      <w:lvlJc w:val="left"/>
    </w:lvl>
    <w:lvl w:ilvl="4" w:tplc="705A8F2E">
      <w:numFmt w:val="decimal"/>
      <w:lvlText w:val=""/>
      <w:lvlJc w:val="left"/>
    </w:lvl>
    <w:lvl w:ilvl="5" w:tplc="67F83140">
      <w:numFmt w:val="decimal"/>
      <w:lvlText w:val=""/>
      <w:lvlJc w:val="left"/>
    </w:lvl>
    <w:lvl w:ilvl="6" w:tplc="C6EE0C90">
      <w:numFmt w:val="decimal"/>
      <w:lvlText w:val=""/>
      <w:lvlJc w:val="left"/>
    </w:lvl>
    <w:lvl w:ilvl="7" w:tplc="5B42534A">
      <w:numFmt w:val="decimal"/>
      <w:lvlText w:val=""/>
      <w:lvlJc w:val="left"/>
    </w:lvl>
    <w:lvl w:ilvl="8" w:tplc="AFE4475C">
      <w:numFmt w:val="decimal"/>
      <w:lvlText w:val=""/>
      <w:lvlJc w:val="left"/>
    </w:lvl>
  </w:abstractNum>
  <w:abstractNum w:abstractNumId="11">
    <w:nsid w:val="66BB74E4"/>
    <w:multiLevelType w:val="hybridMultilevel"/>
    <w:tmpl w:val="5F2AFF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8999519"/>
    <w:multiLevelType w:val="hybridMultilevel"/>
    <w:tmpl w:val="E1D6694A"/>
    <w:lvl w:ilvl="0" w:tplc="D0969F8E">
      <w:start w:val="1"/>
      <w:numFmt w:val="lowerLetter"/>
      <w:lvlText w:val=""/>
      <w:lvlJc w:val="left"/>
    </w:lvl>
    <w:lvl w:ilvl="1" w:tplc="AC084C92">
      <w:numFmt w:val="none"/>
      <w:lvlText w:val=""/>
      <w:lvlJc w:val="left"/>
      <w:pPr>
        <w:tabs>
          <w:tab w:val="num" w:pos="360"/>
        </w:tabs>
      </w:pPr>
    </w:lvl>
    <w:lvl w:ilvl="2" w:tplc="F4EA6E9E">
      <w:numFmt w:val="none"/>
      <w:lvlText w:val=""/>
      <w:lvlJc w:val="left"/>
      <w:pPr>
        <w:tabs>
          <w:tab w:val="num" w:pos="360"/>
        </w:tabs>
      </w:pPr>
    </w:lvl>
    <w:lvl w:ilvl="3" w:tplc="26363550">
      <w:numFmt w:val="decimal"/>
      <w:lvlText w:val=""/>
      <w:lvlJc w:val="left"/>
    </w:lvl>
    <w:lvl w:ilvl="4" w:tplc="99AE2D94">
      <w:numFmt w:val="decimal"/>
      <w:lvlText w:val=""/>
      <w:lvlJc w:val="left"/>
    </w:lvl>
    <w:lvl w:ilvl="5" w:tplc="D7BA9EC4">
      <w:numFmt w:val="decimal"/>
      <w:lvlText w:val=""/>
      <w:lvlJc w:val="left"/>
    </w:lvl>
    <w:lvl w:ilvl="6" w:tplc="2E445F3E">
      <w:numFmt w:val="decimal"/>
      <w:lvlText w:val=""/>
      <w:lvlJc w:val="left"/>
    </w:lvl>
    <w:lvl w:ilvl="7" w:tplc="2636496A">
      <w:numFmt w:val="decimal"/>
      <w:lvlText w:val=""/>
      <w:lvlJc w:val="left"/>
    </w:lvl>
    <w:lvl w:ilvl="8" w:tplc="B8BC897E">
      <w:numFmt w:val="decimal"/>
      <w:lvlText w:val=""/>
      <w:lvlJc w:val="left"/>
    </w:lvl>
  </w:abstractNum>
  <w:num w:numId="1">
    <w:abstractNumId w:val="9"/>
  </w:num>
  <w:num w:numId="2">
    <w:abstractNumId w:val="8"/>
  </w:num>
  <w:num w:numId="3">
    <w:abstractNumId w:val="6"/>
  </w:num>
  <w:num w:numId="4">
    <w:abstractNumId w:val="5"/>
  </w:num>
  <w:num w:numId="5">
    <w:abstractNumId w:val="3"/>
  </w:num>
  <w:num w:numId="6">
    <w:abstractNumId w:val="11"/>
  </w:num>
  <w:num w:numId="7">
    <w:abstractNumId w:val="7"/>
  </w:num>
  <w:num w:numId="8">
    <w:abstractNumId w:val="4"/>
  </w:num>
  <w:num w:numId="9">
    <w:abstractNumId w:val="0"/>
  </w:num>
  <w:num w:numId="10">
    <w:abstractNumId w:val="2"/>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EC32B2"/>
    <w:rsid w:val="00017389"/>
    <w:rsid w:val="000A1EE0"/>
    <w:rsid w:val="00112E26"/>
    <w:rsid w:val="001D62E4"/>
    <w:rsid w:val="003A30C8"/>
    <w:rsid w:val="003E2559"/>
    <w:rsid w:val="005A68D8"/>
    <w:rsid w:val="005A6AB6"/>
    <w:rsid w:val="00630364"/>
    <w:rsid w:val="00705777"/>
    <w:rsid w:val="0070626C"/>
    <w:rsid w:val="0071431D"/>
    <w:rsid w:val="008256B3"/>
    <w:rsid w:val="008A7586"/>
    <w:rsid w:val="008F4C10"/>
    <w:rsid w:val="009E6B9E"/>
    <w:rsid w:val="00BC792A"/>
    <w:rsid w:val="00DA38D6"/>
    <w:rsid w:val="00E06BA7"/>
    <w:rsid w:val="00E45A48"/>
    <w:rsid w:val="00EC3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EC32B2"/>
    <w:pPr>
      <w:keepLines w:val="0"/>
      <w:widowControl w:val="0"/>
      <w:autoSpaceDE w:val="0"/>
      <w:autoSpaceDN w:val="0"/>
      <w:spacing w:before="240" w:after="60" w:line="240" w:lineRule="auto"/>
      <w:jc w:val="both"/>
    </w:pPr>
    <w:rPr>
      <w:rFonts w:ascii="Times New Roman" w:eastAsia="Times New Roman" w:hAnsi="Times New Roman" w:cs="Times New Roman"/>
      <w:b/>
      <w:bCs/>
      <w:color w:val="993300"/>
      <w:sz w:val="22"/>
      <w:szCs w:val="22"/>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3A30C8"/>
    <w:pPr>
      <w:autoSpaceDE w:val="0"/>
      <w:autoSpaceDN w:val="0"/>
      <w:adjustRightInd w:val="0"/>
    </w:pPr>
    <w:rPr>
      <w:rFonts w:ascii="Times New Roman" w:hAnsi="Times New Roman" w:cs="Times New Roman"/>
      <w:color w:val="000000"/>
      <w:lang w:val="en-US"/>
    </w:rPr>
  </w:style>
  <w:style w:type="character" w:customStyle="1" w:styleId="fontstyle01">
    <w:name w:val="fontstyle01"/>
    <w:basedOn w:val="DefaultParagraphFont"/>
    <w:rsid w:val="0070626C"/>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70626C"/>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HoloPopeye@outlook.com</cp:lastModifiedBy>
  <cp:revision>7</cp:revision>
  <dcterms:created xsi:type="dcterms:W3CDTF">2020-06-30T03:43:00Z</dcterms:created>
  <dcterms:modified xsi:type="dcterms:W3CDTF">2020-07-04T02:27:00Z</dcterms:modified>
</cp:coreProperties>
</file>